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11" w:rsidRDefault="00375C11" w:rsidP="00702486">
      <w:pPr>
        <w:pStyle w:val="Ttulo2"/>
        <w:jc w:val="center"/>
        <w:rPr>
          <w:b/>
          <w:color w:val="auto"/>
          <w:sz w:val="22"/>
          <w:szCs w:val="22"/>
          <w:highlight w:val="yellow"/>
        </w:rPr>
      </w:pPr>
      <w:bookmarkStart w:id="0" w:name="_Toc13673320"/>
      <w:r>
        <w:rPr>
          <w:b/>
          <w:color w:val="auto"/>
          <w:sz w:val="22"/>
          <w:szCs w:val="22"/>
          <w:highlight w:val="yellow"/>
        </w:rPr>
        <w:t>EDITAL CONCORRÊNCIA PUBLICA Nº 003/2019 – 2ª Publicação</w:t>
      </w:r>
    </w:p>
    <w:p w:rsidR="00375C11" w:rsidRPr="00375C11" w:rsidRDefault="00375C11" w:rsidP="00375C11">
      <w:pPr>
        <w:jc w:val="center"/>
        <w:rPr>
          <w:highlight w:val="yellow"/>
          <w:lang w:eastAsia="pt-BR" w:bidi="pt-BR"/>
        </w:rPr>
      </w:pPr>
      <w:r>
        <w:rPr>
          <w:highlight w:val="yellow"/>
          <w:lang w:eastAsia="pt-BR" w:bidi="pt-BR"/>
        </w:rPr>
        <w:t>Serviços de Publicidade</w:t>
      </w:r>
    </w:p>
    <w:p w:rsidR="00702486" w:rsidRPr="0005476B" w:rsidRDefault="00702486" w:rsidP="00702486">
      <w:pPr>
        <w:pStyle w:val="Ttulo2"/>
        <w:jc w:val="center"/>
        <w:rPr>
          <w:b/>
          <w:color w:val="auto"/>
          <w:sz w:val="22"/>
          <w:szCs w:val="22"/>
        </w:rPr>
      </w:pPr>
      <w:r w:rsidRPr="00702486">
        <w:rPr>
          <w:b/>
          <w:color w:val="auto"/>
          <w:sz w:val="22"/>
          <w:szCs w:val="22"/>
          <w:highlight w:val="yellow"/>
        </w:rPr>
        <w:t>ANEXO V – PROCEDIMENTO DE SELEÇÃO INTERNA</w:t>
      </w:r>
      <w:bookmarkEnd w:id="0"/>
      <w:r w:rsidRPr="00702486">
        <w:rPr>
          <w:b/>
          <w:color w:val="auto"/>
          <w:sz w:val="22"/>
          <w:szCs w:val="22"/>
          <w:highlight w:val="yellow"/>
        </w:rPr>
        <w:t xml:space="preserve"> - RETIFICADO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02486" w:rsidRPr="00243FB4" w:rsidRDefault="00702486" w:rsidP="0070248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243FB4">
        <w:rPr>
          <w:rFonts w:ascii="Arial Narrow" w:hAnsi="Arial Narrow" w:cs="Times New Roman"/>
          <w:b/>
          <w:bCs/>
          <w:sz w:val="22"/>
          <w:szCs w:val="22"/>
        </w:rPr>
        <w:t xml:space="preserve">Procedimento de Seleção Interna entre as Agências de Publicidade </w:t>
      </w:r>
      <w:r w:rsidRPr="00243FB4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702486" w:rsidRPr="00243FB4" w:rsidRDefault="00702486" w:rsidP="00702486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243FB4">
        <w:rPr>
          <w:rFonts w:ascii="Arial Narrow" w:hAnsi="Arial Narrow" w:cs="Times New Roman"/>
          <w:b/>
          <w:bCs/>
          <w:sz w:val="22"/>
          <w:szCs w:val="22"/>
        </w:rPr>
        <w:t>Contratadas pela Prefeitura Municipal de Palmas – Tocantins</w:t>
      </w:r>
    </w:p>
    <w:p w:rsidR="00702486" w:rsidRPr="00243FB4" w:rsidRDefault="00702486" w:rsidP="00702486">
      <w:pPr>
        <w:pStyle w:val="Default"/>
        <w:jc w:val="center"/>
        <w:rPr>
          <w:rFonts w:ascii="Arial Narrow" w:hAnsi="Arial Narrow" w:cs="Times New Roman"/>
          <w:bCs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Em atendimento ao artigo 1º § 4º da Lei 12.232, de 29.04.2010, fica instituído procedimento de seleção interna entre as Agências de Publicidade, contratadas pela Prefeitura Municipal de Palmas – Tocantins: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 Será realizado procedimento de seleção interna para escolha de agência responsável pelo desenvolvimento de ações de comunicação na ocorrência de: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bookmarkStart w:id="1" w:name="_GoBack"/>
      <w:bookmarkEnd w:id="1"/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1.1 - Ações Publici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tárias com investimento </w:t>
      </w:r>
      <w:r w:rsidRPr="00702486">
        <w:rPr>
          <w:rFonts w:ascii="Arial Narrow" w:hAnsi="Arial Narrow" w:cs="Times New Roman"/>
          <w:color w:val="auto"/>
          <w:sz w:val="22"/>
          <w:szCs w:val="22"/>
          <w:highlight w:val="yellow"/>
        </w:rPr>
        <w:t>até R$ 5</w:t>
      </w:r>
      <w:r w:rsidRPr="00702486">
        <w:rPr>
          <w:rFonts w:ascii="Arial Narrow" w:hAnsi="Arial Narrow" w:cs="Times New Roman"/>
          <w:color w:val="auto"/>
          <w:sz w:val="22"/>
          <w:szCs w:val="22"/>
          <w:highlight w:val="yellow"/>
        </w:rPr>
        <w:t>00.000,00 (</w:t>
      </w:r>
      <w:r>
        <w:rPr>
          <w:rFonts w:ascii="Arial Narrow" w:hAnsi="Arial Narrow" w:cs="Times New Roman"/>
          <w:color w:val="auto"/>
          <w:sz w:val="22"/>
          <w:szCs w:val="22"/>
          <w:highlight w:val="yellow"/>
        </w:rPr>
        <w:t>quinhentos mil</w:t>
      </w:r>
      <w:r w:rsidRPr="00702486">
        <w:rPr>
          <w:rFonts w:ascii="Arial Narrow" w:hAnsi="Arial Narrow" w:cs="Times New Roman"/>
          <w:color w:val="auto"/>
          <w:sz w:val="22"/>
          <w:szCs w:val="22"/>
          <w:highlight w:val="yellow"/>
        </w:rPr>
        <w:t xml:space="preserve"> reais)</w:t>
      </w:r>
      <w:r w:rsidRPr="00243FB4">
        <w:rPr>
          <w:rFonts w:ascii="Arial Narrow" w:hAnsi="Arial Narrow" w:cs="Times New Roman"/>
          <w:color w:val="auto"/>
          <w:sz w:val="22"/>
          <w:szCs w:val="22"/>
        </w:rPr>
        <w:t>, mediante a aplicação dos seguintes critérios: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a) escolha da agência que já executou ação publicitária similar (familiaridade da agência com o tema);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b) escolha da agência que estiver em melhores condições para desenvolver a ação publicitária;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c) - reaproveitamento de linha criativa desenvolvida pela agência.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numPr>
          <w:ilvl w:val="2"/>
          <w:numId w:val="1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Fica dispensada a seleção interna prevista neste item nas as hipóteses de:</w:t>
      </w:r>
    </w:p>
    <w:p w:rsidR="00702486" w:rsidRPr="00243FB4" w:rsidRDefault="00702486" w:rsidP="00702486">
      <w:pPr>
        <w:pStyle w:val="Default"/>
        <w:ind w:left="72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a) Ação Publicitária que decorra de iniciativa de uma das agências de publicidade contratada;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b) Em caso de uma das agências de publicidade ter atingido o limite de faturamento previsto em contrato;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 xml:space="preserve">1.2 - As Ações Publicitárias com investimento acima </w:t>
      </w:r>
      <w:proofErr w:type="gramStart"/>
      <w:r w:rsidRPr="00243FB4">
        <w:rPr>
          <w:rFonts w:ascii="Arial Narrow" w:hAnsi="Arial Narrow" w:cs="Times New Roman"/>
          <w:color w:val="auto"/>
          <w:sz w:val="22"/>
          <w:szCs w:val="22"/>
        </w:rPr>
        <w:t xml:space="preserve">de </w:t>
      </w:r>
      <w:r w:rsidRPr="00702486">
        <w:rPr>
          <w:rFonts w:ascii="Arial Narrow" w:hAnsi="Arial Narrow" w:cs="Times New Roman"/>
          <w:color w:val="auto"/>
          <w:sz w:val="22"/>
          <w:szCs w:val="22"/>
          <w:highlight w:val="yellow"/>
        </w:rPr>
        <w:t xml:space="preserve"> R</w:t>
      </w:r>
      <w:proofErr w:type="gramEnd"/>
      <w:r w:rsidRPr="00702486">
        <w:rPr>
          <w:rFonts w:ascii="Arial Narrow" w:hAnsi="Arial Narrow" w:cs="Times New Roman"/>
          <w:color w:val="auto"/>
          <w:sz w:val="22"/>
          <w:szCs w:val="22"/>
          <w:highlight w:val="yellow"/>
        </w:rPr>
        <w:t>$ 500.000,00 (</w:t>
      </w:r>
      <w:r>
        <w:rPr>
          <w:rFonts w:ascii="Arial Narrow" w:hAnsi="Arial Narrow" w:cs="Times New Roman"/>
          <w:color w:val="auto"/>
          <w:sz w:val="22"/>
          <w:szCs w:val="22"/>
          <w:highlight w:val="yellow"/>
        </w:rPr>
        <w:t>quinhentos mil</w:t>
      </w:r>
      <w:r w:rsidRPr="00702486">
        <w:rPr>
          <w:rFonts w:ascii="Arial Narrow" w:hAnsi="Arial Narrow" w:cs="Times New Roman"/>
          <w:color w:val="auto"/>
          <w:sz w:val="22"/>
          <w:szCs w:val="22"/>
          <w:highlight w:val="yellow"/>
        </w:rPr>
        <w:t xml:space="preserve"> reais</w:t>
      </w:r>
      <w:r w:rsidRPr="00243FB4">
        <w:rPr>
          <w:rFonts w:ascii="Arial Narrow" w:hAnsi="Arial Narrow" w:cs="Times New Roman"/>
          <w:color w:val="auto"/>
          <w:sz w:val="22"/>
          <w:szCs w:val="22"/>
        </w:rPr>
        <w:t>), as Agências contratadas serão convocadas para participar da seleção interna por meio de correspondência.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1.2.1 - Será elaborado Briefing pela Secretaria da Comunicação Social, que conterá todos os subsídios para que as Agências possam elaborar sua proposta de solução para a necessidade de comunicação.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1.2.2 - O Briefing será repassado às Agências e a data de entrega das campanhas será estipulada de acordo com a agenda dos envolvidos na ação.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 xml:space="preserve">1.2.3 – O prazo, a ordem e a forma de apresentação das propostas serão acordados no dia da passagem de </w:t>
      </w:r>
      <w:r w:rsidRPr="00243FB4">
        <w:rPr>
          <w:rFonts w:ascii="Arial Narrow" w:hAnsi="Arial Narrow" w:cs="Times New Roman"/>
          <w:i/>
          <w:iCs/>
          <w:color w:val="auto"/>
          <w:sz w:val="22"/>
          <w:szCs w:val="22"/>
        </w:rPr>
        <w:t>briefing</w:t>
      </w:r>
      <w:r w:rsidRPr="00243FB4">
        <w:rPr>
          <w:rFonts w:ascii="Arial Narrow" w:hAnsi="Arial Narrow" w:cs="Times New Roman"/>
          <w:color w:val="auto"/>
          <w:sz w:val="22"/>
          <w:szCs w:val="22"/>
        </w:rPr>
        <w:t xml:space="preserve"> e registrados no relatório/ata de reunião.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1.2.4 – As agências deverão entregar na data estipulada o material apresentado, com o descritivo da campanha e as peças apresentadas.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1.2.5 – O prazo de avaliação será informado a cada seleção, de acordo com a necessidade da Secretaria da Comunicação Social.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1.2.6 – A Comissão Julgadora poderá sugerir que as propostas apresentadas pelas Agências sejam integradas ou compartilhadas para aperfeiçoar a ação de comunicação publicitária ou viabilizar a sua execução, cabendo a decisão e a definição da forma de participação das Agências à Secretaria Municipal de Comunicação.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243FB4">
        <w:rPr>
          <w:rFonts w:ascii="Arial Narrow" w:hAnsi="Arial Narrow" w:cs="Times New Roman"/>
          <w:color w:val="auto"/>
          <w:sz w:val="22"/>
          <w:szCs w:val="22"/>
        </w:rPr>
        <w:t>1.2.7 – A metodologia de avaliação das campanhas será composta por quesitos que receberão notas de 0 (zero) a 10 (dez), conforme os pesos a seguir:</w:t>
      </w:r>
    </w:p>
    <w:p w:rsidR="00702486" w:rsidRPr="00243FB4" w:rsidRDefault="00702486" w:rsidP="0070248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02486" w:rsidRPr="00243FB4" w:rsidRDefault="00702486" w:rsidP="00702486">
      <w:pPr>
        <w:pStyle w:val="Standard"/>
        <w:spacing w:after="0"/>
        <w:jc w:val="both"/>
        <w:rPr>
          <w:rFonts w:ascii="Arial Narrow" w:hAnsi="Arial Narrow" w:cs="Times New Roman"/>
        </w:rPr>
      </w:pPr>
      <w:r w:rsidRPr="00243FB4">
        <w:rPr>
          <w:rFonts w:ascii="Arial Narrow" w:hAnsi="Arial Narrow" w:cs="Times New Roman"/>
        </w:rPr>
        <w:t xml:space="preserve">a) Raciocínio Básico – o grau de entendimento e compreensão do </w:t>
      </w:r>
      <w:r w:rsidRPr="00243FB4">
        <w:rPr>
          <w:rFonts w:ascii="Arial Narrow" w:hAnsi="Arial Narrow" w:cs="Times New Roman"/>
          <w:i/>
          <w:iCs/>
        </w:rPr>
        <w:t>briefing</w:t>
      </w:r>
      <w:r w:rsidRPr="00243FB4">
        <w:rPr>
          <w:rFonts w:ascii="Arial Narrow" w:hAnsi="Arial Narrow" w:cs="Times New Roman"/>
        </w:rPr>
        <w:t xml:space="preserve"> (peso 1)</w:t>
      </w: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  <w:r w:rsidRPr="00243FB4">
        <w:rPr>
          <w:rFonts w:ascii="Arial Narrow" w:hAnsi="Arial Narrow" w:cs="Times New Roman"/>
        </w:rPr>
        <w:t>b) Estratégia de Comunicação – a adequação do tema e conceito propostos; a consistência da defesa do tema e conceito propostos; a riqueza de desdobramentos que o tema e conceito possibilitam; a adequação da estratégia de comunicação; a consistência da defesa da estratégia de comunicação; a adequação da estratégia de comunicação com a verba disponível, de acordo com cada ação, na forma de campanha específica de comunicação publicitária (peso 2).</w:t>
      </w: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  <w:r w:rsidRPr="00243FB4">
        <w:rPr>
          <w:rFonts w:ascii="Arial Narrow" w:hAnsi="Arial Narrow" w:cs="Times New Roman"/>
        </w:rPr>
        <w:t xml:space="preserve">c) </w:t>
      </w:r>
      <w:proofErr w:type="spellStart"/>
      <w:r w:rsidRPr="00243FB4">
        <w:rPr>
          <w:rFonts w:ascii="Arial Narrow" w:hAnsi="Arial Narrow" w:cs="Times New Roman"/>
        </w:rPr>
        <w:t>Idéia</w:t>
      </w:r>
      <w:proofErr w:type="spellEnd"/>
      <w:r w:rsidRPr="00243FB4">
        <w:rPr>
          <w:rFonts w:ascii="Arial Narrow" w:hAnsi="Arial Narrow" w:cs="Times New Roman"/>
        </w:rPr>
        <w:t xml:space="preserve"> Criativa – a adequação da proposta ao </w:t>
      </w:r>
      <w:r w:rsidRPr="00243FB4">
        <w:rPr>
          <w:rFonts w:ascii="Arial Narrow" w:hAnsi="Arial Narrow" w:cs="Times New Roman"/>
          <w:i/>
          <w:iCs/>
        </w:rPr>
        <w:t>briefing</w:t>
      </w:r>
      <w:r w:rsidRPr="00243FB4">
        <w:rPr>
          <w:rFonts w:ascii="Arial Narrow" w:hAnsi="Arial Narrow" w:cs="Times New Roman"/>
        </w:rPr>
        <w:t>; a interpretação favorável ao conceito da campanha; a adequação da proposta aos públicos-alvo; a originalidade e simplicidade da forma e dos elementos; a pertinência às atividades do Banco; os desdobramentos que permite a exequibilidade das peças; a compatibilidade das peças aos meios propostos (peso 4).</w:t>
      </w: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  <w:r w:rsidRPr="00243FB4">
        <w:rPr>
          <w:rFonts w:ascii="Arial Narrow" w:hAnsi="Arial Narrow" w:cs="Times New Roman"/>
        </w:rPr>
        <w:t>d) Estratégia de Mídia e Não Mídia – o conhecimento dos hábitos de consumo de comunicação dos públicos-alvo; a consistência do plano simulado; a pertinência, oportunidade e economicidade no uso dos recursos próprios de comunicação; a otimização dos recursos nos meios recomendados. A criatividade em mídia (peso 3).</w:t>
      </w: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  <w:r w:rsidRPr="00243FB4">
        <w:rPr>
          <w:rFonts w:ascii="Arial Narrow" w:hAnsi="Arial Narrow" w:cs="Times New Roman"/>
        </w:rPr>
        <w:t>1.2.8 – O resultado será informado por meio de correspondência às agências participantes.</w:t>
      </w:r>
    </w:p>
    <w:p w:rsidR="00702486" w:rsidRPr="00243FB4" w:rsidRDefault="00702486" w:rsidP="00702486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</w:p>
    <w:p w:rsidR="00702486" w:rsidRPr="00243FB4" w:rsidRDefault="00702486" w:rsidP="00702486">
      <w:pPr>
        <w:pStyle w:val="Standard"/>
        <w:spacing w:after="0"/>
        <w:jc w:val="both"/>
        <w:rPr>
          <w:rFonts w:ascii="Arial Narrow" w:hAnsi="Arial Narrow" w:cs="Times New Roman"/>
        </w:rPr>
      </w:pPr>
      <w:r w:rsidRPr="00243FB4">
        <w:rPr>
          <w:rFonts w:ascii="Arial Narrow" w:hAnsi="Arial Narrow" w:cs="Times New Roman"/>
        </w:rPr>
        <w:t>1.2.9 – Não caberá às agências participantes a apresentação de recurso da decisão.</w:t>
      </w:r>
    </w:p>
    <w:p w:rsidR="006E488C" w:rsidRDefault="00A0621F"/>
    <w:sectPr w:rsidR="006E488C" w:rsidSect="00702486">
      <w:headerReference w:type="even" r:id="rId7"/>
      <w:headerReference w:type="default" r:id="rId8"/>
      <w:headerReference w:type="first" r:id="rId9"/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86" w:rsidRDefault="00702486" w:rsidP="00702486">
      <w:pPr>
        <w:spacing w:after="0" w:line="240" w:lineRule="auto"/>
      </w:pPr>
      <w:r>
        <w:separator/>
      </w:r>
    </w:p>
  </w:endnote>
  <w:endnote w:type="continuationSeparator" w:id="0">
    <w:p w:rsidR="00702486" w:rsidRDefault="00702486" w:rsidP="0070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86" w:rsidRDefault="00702486" w:rsidP="00702486">
      <w:pPr>
        <w:spacing w:after="0" w:line="240" w:lineRule="auto"/>
      </w:pPr>
      <w:r>
        <w:separator/>
      </w:r>
    </w:p>
  </w:footnote>
  <w:footnote w:type="continuationSeparator" w:id="0">
    <w:p w:rsidR="00702486" w:rsidRDefault="00702486" w:rsidP="0070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86" w:rsidRDefault="007024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09141" o:spid="_x0000_s2050" type="#_x0000_t75" style="position:absolute;margin-left:0;margin-top:0;width:581.1pt;height:822.85pt;z-index:-251657216;mso-position-horizontal:center;mso-position-horizontal-relative:margin;mso-position-vertical:center;mso-position-vertical-relative:margin" o:allowincell="f">
          <v:imagedata r:id="rId1" o:title="Timbrado SUCO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86" w:rsidRDefault="007024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09142" o:spid="_x0000_s2051" type="#_x0000_t75" style="position:absolute;margin-left:-78.05pt;margin-top:-118pt;width:581.1pt;height:822.85pt;z-index:-251656192;mso-position-horizontal-relative:margin;mso-position-vertical-relative:margin" o:allowincell="f">
          <v:imagedata r:id="rId1" o:title="Timbrado SUCO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86" w:rsidRDefault="007024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309140" o:spid="_x0000_s2049" type="#_x0000_t75" style="position:absolute;margin-left:0;margin-top:0;width:581.1pt;height:822.85pt;z-index:-251658240;mso-position-horizontal:center;mso-position-horizontal-relative:margin;mso-position-vertical:center;mso-position-vertical-relative:margin" o:allowincell="f">
          <v:imagedata r:id="rId1" o:title="Timbrado SUCO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826"/>
    <w:multiLevelType w:val="multilevel"/>
    <w:tmpl w:val="B1AE00CE"/>
    <w:styleLink w:val="WWNum2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86"/>
    <w:rsid w:val="00152CD5"/>
    <w:rsid w:val="001A32D1"/>
    <w:rsid w:val="00375C11"/>
    <w:rsid w:val="00702486"/>
    <w:rsid w:val="00A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B62DC6A-94D0-4865-AD48-ADC1CA6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70248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024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 w:bidi="pt-BR"/>
    </w:rPr>
  </w:style>
  <w:style w:type="paragraph" w:customStyle="1" w:styleId="Standard">
    <w:name w:val="Standard"/>
    <w:rsid w:val="007024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70248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WWNum20">
    <w:name w:val="WWNum20"/>
    <w:basedOn w:val="Semlista"/>
    <w:rsid w:val="00702486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70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486"/>
  </w:style>
  <w:style w:type="paragraph" w:styleId="Rodap">
    <w:name w:val="footer"/>
    <w:basedOn w:val="Normal"/>
    <w:link w:val="RodapChar"/>
    <w:uiPriority w:val="99"/>
    <w:unhideWhenUsed/>
    <w:rsid w:val="00702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486"/>
  </w:style>
  <w:style w:type="paragraph" w:styleId="Textodebalo">
    <w:name w:val="Balloon Text"/>
    <w:basedOn w:val="Normal"/>
    <w:link w:val="TextodebaloChar"/>
    <w:uiPriority w:val="99"/>
    <w:semiHidden/>
    <w:unhideWhenUsed/>
    <w:rsid w:val="00A0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Ocacira Rachel Araújo Primo</dc:creator>
  <cp:keywords/>
  <dc:description/>
  <cp:lastModifiedBy>Ocacira Rachel Araújo Primo</cp:lastModifiedBy>
  <cp:revision>2</cp:revision>
  <cp:lastPrinted>2019-11-28T16:46:00Z</cp:lastPrinted>
  <dcterms:created xsi:type="dcterms:W3CDTF">2019-11-28T16:33:00Z</dcterms:created>
  <dcterms:modified xsi:type="dcterms:W3CDTF">2019-11-28T16:47:00Z</dcterms:modified>
</cp:coreProperties>
</file>